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23DDC" w14:textId="77777777" w:rsidR="001058BD" w:rsidRPr="00515462" w:rsidRDefault="001058BD" w:rsidP="001058BD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Plantilla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3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Hoja de evaluación de exchanges y wallets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(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Marco estratégico para la selección, análisis y seguimiento de infraestructuras cripto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>)</w:t>
      </w:r>
    </w:p>
    <w:p w14:paraId="5DEBE807" w14:textId="77777777" w:rsidR="001058BD" w:rsidRDefault="001058BD" w:rsidP="001058BD">
      <w:pPr>
        <w:jc w:val="both"/>
        <w:rPr>
          <w:rFonts w:eastAsiaTheme="minorEastAsia"/>
          <w:lang w:eastAsia="es-ES"/>
        </w:rPr>
      </w:pPr>
    </w:p>
    <w:p w14:paraId="3E313CD8" w14:textId="77777777" w:rsidR="001058BD" w:rsidRPr="000C4DA8" w:rsidRDefault="001058BD" w:rsidP="001058BD">
      <w:pPr>
        <w:jc w:val="both"/>
        <w:rPr>
          <w:rFonts w:eastAsiaTheme="minorEastAsia"/>
          <w:b/>
          <w:bCs/>
          <w:lang w:eastAsia="es-ES"/>
        </w:rPr>
      </w:pPr>
      <w:r w:rsidRPr="000C4DA8">
        <w:rPr>
          <w:rFonts w:eastAsiaTheme="minorEastAsia"/>
          <w:b/>
          <w:bCs/>
          <w:lang w:eastAsia="es-ES"/>
        </w:rPr>
        <w:t>Introducción</w:t>
      </w:r>
    </w:p>
    <w:p w14:paraId="01F7FE51" w14:textId="77777777" w:rsidR="001058BD" w:rsidRDefault="001058BD" w:rsidP="001058BD">
      <w:pPr>
        <w:jc w:val="both"/>
        <w:rPr>
          <w:rFonts w:eastAsiaTheme="minorEastAsia"/>
          <w:lang w:eastAsia="es-ES"/>
        </w:rPr>
      </w:pPr>
      <w:r w:rsidRPr="00A92C16">
        <w:rPr>
          <w:rFonts w:eastAsiaTheme="minorEastAsia"/>
          <w:lang w:eastAsia="es-ES"/>
        </w:rPr>
        <w:t>Esta plantilla permite realizar una comparación entre diferentes exchanges (centralizados o descentralizados) y wallets (custodial o no-custodial), mediante criterios cuantitativos y cualitativos, con foco en la seguridad, reputación, liquidez, transparencia y usabilidad.</w:t>
      </w:r>
    </w:p>
    <w:p w14:paraId="21E426B8" w14:textId="77777777" w:rsidR="001058BD" w:rsidRDefault="001058BD" w:rsidP="001058BD">
      <w:pPr>
        <w:jc w:val="both"/>
        <w:rPr>
          <w:rFonts w:eastAsiaTheme="minorEastAsia"/>
          <w:lang w:eastAsia="es-ES"/>
        </w:rPr>
      </w:pPr>
      <w:r w:rsidRPr="00A92C16">
        <w:rPr>
          <w:rFonts w:eastAsiaTheme="minorEastAsia"/>
          <w:lang w:eastAsia="es-ES"/>
        </w:rPr>
        <w:t>La elección de una plataforma de intercambio (exchange) o de una cartera digital (wallet) es una de las decisiones más importantes para cualquier actor en el ecosistema blockchain. Las estadísticas reflejan que más del 60 % de los fondos robados en criptoactivos provienen de hackeos o mal manejo en plataformas de custodia y acceso (</w:t>
      </w:r>
      <w:proofErr w:type="spellStart"/>
      <w:r w:rsidRPr="00A92C16">
        <w:rPr>
          <w:rFonts w:eastAsiaTheme="minorEastAsia"/>
          <w:lang w:eastAsia="es-ES"/>
        </w:rPr>
        <w:t>Chainalysis</w:t>
      </w:r>
      <w:proofErr w:type="spellEnd"/>
      <w:r w:rsidRPr="00A92C16">
        <w:rPr>
          <w:rFonts w:eastAsiaTheme="minorEastAsia"/>
          <w:lang w:eastAsia="es-ES"/>
        </w:rPr>
        <w:t xml:space="preserve">, 2023). Por esta razón, contar con una hoja de evaluación estructurada y profesional es esencial para </w:t>
      </w:r>
      <w:r>
        <w:rPr>
          <w:rFonts w:eastAsiaTheme="minorEastAsia"/>
          <w:lang w:eastAsia="es-ES"/>
        </w:rPr>
        <w:t>disminuir</w:t>
      </w:r>
      <w:r w:rsidRPr="00A92C16">
        <w:rPr>
          <w:rFonts w:eastAsiaTheme="minorEastAsia"/>
          <w:lang w:eastAsia="es-ES"/>
        </w:rPr>
        <w:t xml:space="preserve"> riesgos operativos, regulatorios, técnicos y financieros.</w:t>
      </w:r>
    </w:p>
    <w:p w14:paraId="48AE2AA6" w14:textId="77777777" w:rsidR="001058BD" w:rsidRDefault="001058BD" w:rsidP="001058BD">
      <w:pPr>
        <w:jc w:val="both"/>
        <w:rPr>
          <w:rFonts w:eastAsiaTheme="minorEastAsia"/>
          <w:lang w:eastAsia="es-ES"/>
        </w:rPr>
      </w:pPr>
    </w:p>
    <w:p w14:paraId="5CA70FEC" w14:textId="77777777" w:rsidR="001058BD" w:rsidRPr="00A92C16" w:rsidRDefault="001058BD" w:rsidP="001058BD">
      <w:pPr>
        <w:jc w:val="both"/>
        <w:rPr>
          <w:rFonts w:eastAsiaTheme="minorEastAsia"/>
          <w:b/>
          <w:bCs/>
          <w:lang w:eastAsia="es-ES"/>
        </w:rPr>
      </w:pPr>
      <w:r w:rsidRPr="00A92C16">
        <w:rPr>
          <w:rFonts w:eastAsiaTheme="minorEastAsia"/>
          <w:b/>
          <w:bCs/>
          <w:lang w:eastAsia="es-ES"/>
        </w:rPr>
        <w:t>Objetivos de la plantilla</w:t>
      </w:r>
    </w:p>
    <w:p w14:paraId="101AC6F9" w14:textId="77777777" w:rsidR="001058BD" w:rsidRPr="00A92C16" w:rsidRDefault="001058BD" w:rsidP="001058BD">
      <w:pPr>
        <w:jc w:val="both"/>
        <w:rPr>
          <w:rFonts w:eastAsiaTheme="minorEastAsia"/>
          <w:lang w:eastAsia="es-ES"/>
        </w:rPr>
      </w:pPr>
      <w:r w:rsidRPr="00A92C16">
        <w:rPr>
          <w:rFonts w:eastAsiaTheme="minorEastAsia"/>
          <w:lang w:eastAsia="es-ES"/>
        </w:rPr>
        <w:t>Proporcionar una herramienta práctica para:</w:t>
      </w:r>
    </w:p>
    <w:p w14:paraId="6E500A0F" w14:textId="77777777" w:rsidR="001058BD" w:rsidRPr="00A92C16" w:rsidRDefault="001058BD" w:rsidP="001058BD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A92C16">
        <w:rPr>
          <w:rFonts w:eastAsiaTheme="minorEastAsia"/>
          <w:lang w:eastAsia="es-ES"/>
        </w:rPr>
        <w:t>Seleccionar un exchange o wallet de forma informada y estratégica.</w:t>
      </w:r>
    </w:p>
    <w:p w14:paraId="0F9EC5DB" w14:textId="77777777" w:rsidR="001058BD" w:rsidRPr="00A92C16" w:rsidRDefault="001058BD" w:rsidP="001058BD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A92C16">
        <w:rPr>
          <w:rFonts w:eastAsiaTheme="minorEastAsia"/>
          <w:lang w:eastAsia="es-ES"/>
        </w:rPr>
        <w:t>Evaluar nuevas plataformas antes de operar en ellas.</w:t>
      </w:r>
    </w:p>
    <w:p w14:paraId="59192552" w14:textId="77777777" w:rsidR="001058BD" w:rsidRPr="00A92C16" w:rsidRDefault="001058BD" w:rsidP="001058BD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A92C16">
        <w:rPr>
          <w:rFonts w:eastAsiaTheme="minorEastAsia"/>
          <w:lang w:eastAsia="es-ES"/>
        </w:rPr>
        <w:t>Identificar posibles riesgos de contrapartida, hackeo o insolvencia.</w:t>
      </w:r>
    </w:p>
    <w:p w14:paraId="34B98E8F" w14:textId="77777777" w:rsidR="001058BD" w:rsidRPr="00A92C16" w:rsidRDefault="001058BD" w:rsidP="001058BD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A92C16">
        <w:rPr>
          <w:rFonts w:eastAsiaTheme="minorEastAsia"/>
          <w:lang w:eastAsia="es-ES"/>
        </w:rPr>
        <w:t>Integrar los resultados en un marco de compliance, auditoría o inversión institucional.</w:t>
      </w:r>
    </w:p>
    <w:p w14:paraId="4D9EE0A3" w14:textId="77777777" w:rsidR="001058BD" w:rsidRDefault="001058BD" w:rsidP="001058BD">
      <w:pPr>
        <w:jc w:val="both"/>
        <w:rPr>
          <w:rFonts w:eastAsiaTheme="minorEastAsia"/>
          <w:lang w:eastAsia="es-ES"/>
        </w:rPr>
      </w:pPr>
    </w:p>
    <w:p w14:paraId="631C9B23" w14:textId="77777777" w:rsidR="001058BD" w:rsidRPr="00A92C16" w:rsidRDefault="001058BD" w:rsidP="001058BD">
      <w:pPr>
        <w:jc w:val="both"/>
        <w:rPr>
          <w:rFonts w:eastAsiaTheme="minorEastAsia"/>
          <w:b/>
          <w:bCs/>
          <w:lang w:eastAsia="es-ES"/>
        </w:rPr>
      </w:pPr>
      <w:r w:rsidRPr="00A92C16">
        <w:rPr>
          <w:rFonts w:eastAsiaTheme="minorEastAsia"/>
          <w:b/>
          <w:bCs/>
          <w:lang w:eastAsia="es-ES"/>
        </w:rPr>
        <w:t>Metodología de análisis</w:t>
      </w:r>
    </w:p>
    <w:p w14:paraId="5B788A52" w14:textId="77777777" w:rsidR="001058BD" w:rsidRPr="00805FE8" w:rsidRDefault="001058BD" w:rsidP="001058BD">
      <w:pPr>
        <w:jc w:val="both"/>
        <w:rPr>
          <w:rFonts w:eastAsiaTheme="minorEastAsia"/>
          <w:lang w:eastAsia="es-ES"/>
        </w:rPr>
      </w:pPr>
      <w:r w:rsidRPr="00805FE8">
        <w:rPr>
          <w:rFonts w:eastAsiaTheme="minorEastAsia"/>
          <w:lang w:eastAsia="es-ES"/>
        </w:rPr>
        <w:t xml:space="preserve">La plantilla evalúa una serie de dimensiones clave, agrupadas en </w:t>
      </w:r>
      <w:r>
        <w:rPr>
          <w:rFonts w:eastAsiaTheme="minorEastAsia"/>
          <w:lang w:eastAsia="es-ES"/>
        </w:rPr>
        <w:t>dos</w:t>
      </w:r>
      <w:r w:rsidRPr="00805FE8">
        <w:rPr>
          <w:rFonts w:eastAsiaTheme="minorEastAsia"/>
          <w:lang w:eastAsia="es-ES"/>
        </w:rPr>
        <w:t xml:space="preserve"> bloques:</w:t>
      </w:r>
    </w:p>
    <w:p w14:paraId="3A5F4840" w14:textId="77777777" w:rsidR="001058BD" w:rsidRPr="00805FE8" w:rsidRDefault="001058BD" w:rsidP="001058BD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805FE8">
        <w:rPr>
          <w:rFonts w:eastAsiaTheme="minorEastAsia"/>
          <w:lang w:eastAsia="es-ES"/>
        </w:rPr>
        <w:t>Seguridad y custodia</w:t>
      </w:r>
    </w:p>
    <w:p w14:paraId="74639EA1" w14:textId="77777777" w:rsidR="001058BD" w:rsidRPr="00805FE8" w:rsidRDefault="001058BD" w:rsidP="001058BD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805FE8">
        <w:rPr>
          <w:rFonts w:eastAsiaTheme="minorEastAsia"/>
          <w:lang w:eastAsia="es-ES"/>
        </w:rPr>
        <w:t>Cumplimiento y regulación</w:t>
      </w:r>
    </w:p>
    <w:p w14:paraId="2CC98F75" w14:textId="77777777" w:rsidR="001058BD" w:rsidRPr="00805FE8" w:rsidRDefault="001058BD" w:rsidP="001058BD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805FE8">
        <w:rPr>
          <w:rFonts w:eastAsiaTheme="minorEastAsia"/>
          <w:lang w:eastAsia="es-ES"/>
        </w:rPr>
        <w:t>Usabilidad, reputación y funcionalidad</w:t>
      </w:r>
    </w:p>
    <w:p w14:paraId="4B9156D7" w14:textId="77777777" w:rsidR="001058BD" w:rsidRDefault="001058BD" w:rsidP="001058BD">
      <w:pPr>
        <w:jc w:val="both"/>
        <w:rPr>
          <w:rFonts w:eastAsiaTheme="minorEastAsia"/>
          <w:lang w:eastAsia="es-ES"/>
        </w:rPr>
      </w:pPr>
      <w:r w:rsidRPr="00805FE8">
        <w:rPr>
          <w:rFonts w:eastAsiaTheme="minorEastAsia"/>
          <w:lang w:eastAsia="es-ES"/>
        </w:rPr>
        <w:t xml:space="preserve">Cada criterio se puntúa de 1 a 5 (donde 1 = muy deficiente y 5 = excelente). Luego se calcula un índice total ponderado, ajustado a la prioridad del usuario (inversor, empresa, </w:t>
      </w:r>
      <w:proofErr w:type="spellStart"/>
      <w:r w:rsidRPr="00805FE8">
        <w:rPr>
          <w:rFonts w:eastAsiaTheme="minorEastAsia"/>
          <w:lang w:eastAsia="es-ES"/>
        </w:rPr>
        <w:t>trader</w:t>
      </w:r>
      <w:proofErr w:type="spellEnd"/>
      <w:r w:rsidRPr="00805FE8">
        <w:rPr>
          <w:rFonts w:eastAsiaTheme="minorEastAsia"/>
          <w:lang w:eastAsia="es-ES"/>
        </w:rPr>
        <w:t>, DAO, etc.).</w:t>
      </w:r>
    </w:p>
    <w:p w14:paraId="21BD600E" w14:textId="77777777" w:rsidR="001058BD" w:rsidRDefault="001058BD" w:rsidP="001058BD">
      <w:pPr>
        <w:jc w:val="both"/>
        <w:rPr>
          <w:rFonts w:eastAsiaTheme="minorEastAsia"/>
          <w:lang w:eastAsia="es-ES"/>
        </w:rPr>
      </w:pPr>
    </w:p>
    <w:p w14:paraId="791ACCC7" w14:textId="77777777" w:rsidR="001058BD" w:rsidRPr="00F72D2F" w:rsidRDefault="001058BD" w:rsidP="001058BD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 xml:space="preserve">BLOQUE </w:t>
      </w:r>
      <w:r w:rsidRPr="00F72D2F">
        <w:rPr>
          <w:rFonts w:eastAsiaTheme="minorEastAsia"/>
          <w:i/>
          <w:iCs/>
          <w:lang w:eastAsia="es-ES"/>
        </w:rPr>
        <w:t>1</w:t>
      </w:r>
      <w:r>
        <w:rPr>
          <w:rFonts w:eastAsiaTheme="minorEastAsia"/>
          <w:i/>
          <w:iCs/>
          <w:lang w:eastAsia="es-ES"/>
        </w:rPr>
        <w:t>:</w:t>
      </w:r>
      <w:r w:rsidRPr="00F72D2F">
        <w:rPr>
          <w:rFonts w:eastAsiaTheme="minorEastAsia"/>
          <w:i/>
          <w:iCs/>
          <w:lang w:eastAsia="es-ES"/>
        </w:rPr>
        <w:t xml:space="preserve"> Evaluación de Exchanges</w:t>
      </w:r>
    </w:p>
    <w:p w14:paraId="142EEA61" w14:textId="77777777" w:rsidR="001058BD" w:rsidRDefault="001058BD" w:rsidP="001058BD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058BD" w:rsidRPr="00F72D2F" w14:paraId="4F4DA4B9" w14:textId="77777777" w:rsidTr="00DC0209">
        <w:tc>
          <w:tcPr>
            <w:tcW w:w="2123" w:type="dxa"/>
            <w:vAlign w:val="center"/>
          </w:tcPr>
          <w:p w14:paraId="66E236EB" w14:textId="77777777" w:rsidR="001058BD" w:rsidRPr="00F72D2F" w:rsidRDefault="001058BD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Categoría</w:t>
            </w:r>
          </w:p>
        </w:tc>
        <w:tc>
          <w:tcPr>
            <w:tcW w:w="2123" w:type="dxa"/>
            <w:vAlign w:val="center"/>
          </w:tcPr>
          <w:p w14:paraId="0F61D19B" w14:textId="77777777" w:rsidR="001058BD" w:rsidRPr="00F72D2F" w:rsidRDefault="001058BD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Subcriterio</w:t>
            </w:r>
          </w:p>
        </w:tc>
        <w:tc>
          <w:tcPr>
            <w:tcW w:w="2124" w:type="dxa"/>
            <w:vAlign w:val="center"/>
          </w:tcPr>
          <w:p w14:paraId="36B2E0EE" w14:textId="77777777" w:rsidR="001058BD" w:rsidRPr="00F72D2F" w:rsidRDefault="001058BD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Descripción</w:t>
            </w:r>
          </w:p>
        </w:tc>
        <w:tc>
          <w:tcPr>
            <w:tcW w:w="2124" w:type="dxa"/>
            <w:vAlign w:val="center"/>
          </w:tcPr>
          <w:p w14:paraId="076BD817" w14:textId="77777777" w:rsidR="001058BD" w:rsidRPr="00F72D2F" w:rsidRDefault="001058BD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Puntuación (1 – 5)</w:t>
            </w:r>
          </w:p>
        </w:tc>
      </w:tr>
      <w:tr w:rsidR="001058BD" w:rsidRPr="00F72D2F" w14:paraId="16EED45A" w14:textId="77777777" w:rsidTr="00DC0209">
        <w:tc>
          <w:tcPr>
            <w:tcW w:w="2123" w:type="dxa"/>
            <w:vMerge w:val="restart"/>
            <w:vAlign w:val="center"/>
          </w:tcPr>
          <w:p w14:paraId="70B53A26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Seguridad técnica</w:t>
            </w:r>
          </w:p>
        </w:tc>
        <w:tc>
          <w:tcPr>
            <w:tcW w:w="2123" w:type="dxa"/>
            <w:vAlign w:val="center"/>
          </w:tcPr>
          <w:p w14:paraId="7384C80D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Protección contra hackeos</w:t>
            </w:r>
          </w:p>
        </w:tc>
        <w:tc>
          <w:tcPr>
            <w:tcW w:w="2124" w:type="dxa"/>
            <w:vAlign w:val="center"/>
          </w:tcPr>
          <w:p w14:paraId="47FB8B7D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Historial de agujeros de seguridad</w:t>
            </w:r>
          </w:p>
        </w:tc>
        <w:tc>
          <w:tcPr>
            <w:tcW w:w="2124" w:type="dxa"/>
            <w:vAlign w:val="center"/>
          </w:tcPr>
          <w:p w14:paraId="1823227D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665A9FD7" w14:textId="77777777" w:rsidTr="00DC0209">
        <w:tc>
          <w:tcPr>
            <w:tcW w:w="2123" w:type="dxa"/>
            <w:vMerge/>
            <w:vAlign w:val="center"/>
          </w:tcPr>
          <w:p w14:paraId="63554A59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5A122760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Autentificación de doble factor (2FA)</w:t>
            </w:r>
          </w:p>
        </w:tc>
        <w:tc>
          <w:tcPr>
            <w:tcW w:w="2124" w:type="dxa"/>
            <w:vAlign w:val="center"/>
          </w:tcPr>
          <w:p w14:paraId="057D6F10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Google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Authentificator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Yubikey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etc.</w:t>
            </w:r>
          </w:p>
        </w:tc>
        <w:tc>
          <w:tcPr>
            <w:tcW w:w="2124" w:type="dxa"/>
            <w:vAlign w:val="center"/>
          </w:tcPr>
          <w:p w14:paraId="381A5C7B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66BB5AE1" w14:textId="77777777" w:rsidTr="00DC0209">
        <w:tc>
          <w:tcPr>
            <w:tcW w:w="2123" w:type="dxa"/>
            <w:vMerge/>
            <w:vAlign w:val="center"/>
          </w:tcPr>
          <w:p w14:paraId="3DB2EE0C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14630E44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Cold storage</w:t>
            </w:r>
          </w:p>
        </w:tc>
        <w:tc>
          <w:tcPr>
            <w:tcW w:w="2124" w:type="dxa"/>
            <w:vAlign w:val="center"/>
          </w:tcPr>
          <w:p w14:paraId="3726FA41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% de fondos almacenados fuera de línea</w:t>
            </w:r>
          </w:p>
        </w:tc>
        <w:tc>
          <w:tcPr>
            <w:tcW w:w="2124" w:type="dxa"/>
            <w:vAlign w:val="center"/>
          </w:tcPr>
          <w:p w14:paraId="6D5B6840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2766921B" w14:textId="77777777" w:rsidTr="00DC0209">
        <w:tc>
          <w:tcPr>
            <w:tcW w:w="2123" w:type="dxa"/>
            <w:vMerge w:val="restart"/>
            <w:vAlign w:val="center"/>
          </w:tcPr>
          <w:p w14:paraId="3C9A5EB4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Normativa y cumplimiento</w:t>
            </w:r>
          </w:p>
        </w:tc>
        <w:tc>
          <w:tcPr>
            <w:tcW w:w="2123" w:type="dxa"/>
            <w:vAlign w:val="center"/>
          </w:tcPr>
          <w:p w14:paraId="092FE7A0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Licencias regulatorias</w:t>
            </w:r>
          </w:p>
        </w:tc>
        <w:tc>
          <w:tcPr>
            <w:tcW w:w="2124" w:type="dxa"/>
            <w:vAlign w:val="center"/>
          </w:tcPr>
          <w:p w14:paraId="0DD59C80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Ejemplo: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FinCEN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FCA, CNMV, MAS, etc.</w:t>
            </w:r>
          </w:p>
        </w:tc>
        <w:tc>
          <w:tcPr>
            <w:tcW w:w="2124" w:type="dxa"/>
            <w:vAlign w:val="center"/>
          </w:tcPr>
          <w:p w14:paraId="56E196E4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1CBC580B" w14:textId="77777777" w:rsidTr="00DC0209">
        <w:tc>
          <w:tcPr>
            <w:tcW w:w="2123" w:type="dxa"/>
            <w:vMerge/>
            <w:vAlign w:val="center"/>
          </w:tcPr>
          <w:p w14:paraId="24FFD127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0507999E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KYC / AML</w:t>
            </w:r>
          </w:p>
        </w:tc>
        <w:tc>
          <w:tcPr>
            <w:tcW w:w="2124" w:type="dxa"/>
            <w:vAlign w:val="center"/>
          </w:tcPr>
          <w:p w14:paraId="0F9CEAB7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Nivel de cumplimiento en identificación de usuarios</w:t>
            </w:r>
          </w:p>
        </w:tc>
        <w:tc>
          <w:tcPr>
            <w:tcW w:w="2124" w:type="dxa"/>
            <w:vAlign w:val="center"/>
          </w:tcPr>
          <w:p w14:paraId="11E51752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33489F87" w14:textId="77777777" w:rsidTr="00DC0209">
        <w:tc>
          <w:tcPr>
            <w:tcW w:w="2123" w:type="dxa"/>
            <w:vMerge/>
            <w:vAlign w:val="center"/>
          </w:tcPr>
          <w:p w14:paraId="008A5AC4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56C8D097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Transparencia fiscal</w:t>
            </w:r>
          </w:p>
        </w:tc>
        <w:tc>
          <w:tcPr>
            <w:tcW w:w="2124" w:type="dxa"/>
            <w:vAlign w:val="center"/>
          </w:tcPr>
          <w:p w14:paraId="70F72452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Informes automáticos para </w:t>
            </w:r>
            <w:r>
              <w:rPr>
                <w:rFonts w:eastAsiaTheme="minorEastAsia"/>
                <w:sz w:val="22"/>
                <w:szCs w:val="22"/>
                <w:lang w:eastAsia="es-ES"/>
              </w:rPr>
              <w:lastRenderedPageBreak/>
              <w:t>declaraciones fiscales</w:t>
            </w:r>
          </w:p>
        </w:tc>
        <w:tc>
          <w:tcPr>
            <w:tcW w:w="2124" w:type="dxa"/>
            <w:vAlign w:val="center"/>
          </w:tcPr>
          <w:p w14:paraId="54393F92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543F1A3F" w14:textId="77777777" w:rsidTr="00DC0209">
        <w:tc>
          <w:tcPr>
            <w:tcW w:w="2123" w:type="dxa"/>
            <w:vMerge w:val="restart"/>
            <w:vAlign w:val="center"/>
          </w:tcPr>
          <w:p w14:paraId="041CCF92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Liquidez y volumen</w:t>
            </w:r>
          </w:p>
        </w:tc>
        <w:tc>
          <w:tcPr>
            <w:tcW w:w="2123" w:type="dxa"/>
            <w:vAlign w:val="center"/>
          </w:tcPr>
          <w:p w14:paraId="6053B920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Volumen diario informado</w:t>
            </w:r>
          </w:p>
        </w:tc>
        <w:tc>
          <w:tcPr>
            <w:tcW w:w="2124" w:type="dxa"/>
            <w:vAlign w:val="center"/>
          </w:tcPr>
          <w:p w14:paraId="06F1FD76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Confirmar con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CoinMarketCap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Kaiko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etc.</w:t>
            </w:r>
          </w:p>
        </w:tc>
        <w:tc>
          <w:tcPr>
            <w:tcW w:w="2124" w:type="dxa"/>
            <w:vAlign w:val="center"/>
          </w:tcPr>
          <w:p w14:paraId="0C953C83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464A4542" w14:textId="77777777" w:rsidTr="00DC0209">
        <w:tc>
          <w:tcPr>
            <w:tcW w:w="2123" w:type="dxa"/>
            <w:vMerge/>
            <w:vAlign w:val="center"/>
          </w:tcPr>
          <w:p w14:paraId="13DEC69F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64766C2B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Profundidad de mercado</w:t>
            </w:r>
          </w:p>
        </w:tc>
        <w:tc>
          <w:tcPr>
            <w:tcW w:w="2124" w:type="dxa"/>
            <w:vAlign w:val="center"/>
          </w:tcPr>
          <w:p w14:paraId="2E20A67B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Bid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/Ask spreads bajos y estabilidad</w:t>
            </w:r>
          </w:p>
        </w:tc>
        <w:tc>
          <w:tcPr>
            <w:tcW w:w="2124" w:type="dxa"/>
            <w:vAlign w:val="center"/>
          </w:tcPr>
          <w:p w14:paraId="359F9600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30C25A40" w14:textId="77777777" w:rsidTr="00DC0209">
        <w:tc>
          <w:tcPr>
            <w:tcW w:w="2123" w:type="dxa"/>
            <w:vMerge/>
            <w:vAlign w:val="center"/>
          </w:tcPr>
          <w:p w14:paraId="2A4FC4DA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513FAACC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Integración con fiat</w:t>
            </w:r>
          </w:p>
        </w:tc>
        <w:tc>
          <w:tcPr>
            <w:tcW w:w="2124" w:type="dxa"/>
            <w:vAlign w:val="center"/>
          </w:tcPr>
          <w:p w14:paraId="12883884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Pasarelas de entrada / salida en divisas locales</w:t>
            </w:r>
          </w:p>
        </w:tc>
        <w:tc>
          <w:tcPr>
            <w:tcW w:w="2124" w:type="dxa"/>
            <w:vAlign w:val="center"/>
          </w:tcPr>
          <w:p w14:paraId="0EECE2B8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216C2D80" w14:textId="77777777" w:rsidTr="00DC0209">
        <w:tc>
          <w:tcPr>
            <w:tcW w:w="2123" w:type="dxa"/>
            <w:vMerge w:val="restart"/>
            <w:vAlign w:val="center"/>
          </w:tcPr>
          <w:p w14:paraId="2B0D25F0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Gobernabilidad y transparencia</w:t>
            </w:r>
          </w:p>
        </w:tc>
        <w:tc>
          <w:tcPr>
            <w:tcW w:w="2123" w:type="dxa"/>
            <w:vAlign w:val="center"/>
          </w:tcPr>
          <w:p w14:paraId="3275361D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Auditorías públicas</w:t>
            </w:r>
          </w:p>
        </w:tc>
        <w:tc>
          <w:tcPr>
            <w:tcW w:w="2124" w:type="dxa"/>
            <w:vAlign w:val="center"/>
          </w:tcPr>
          <w:p w14:paraId="55A9CCC7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Informes de solvencia o pruebas de reservas (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PoR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)</w:t>
            </w:r>
          </w:p>
        </w:tc>
        <w:tc>
          <w:tcPr>
            <w:tcW w:w="2124" w:type="dxa"/>
            <w:vAlign w:val="center"/>
          </w:tcPr>
          <w:p w14:paraId="6E21CAC1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4BDC5057" w14:textId="77777777" w:rsidTr="00DC0209">
        <w:tc>
          <w:tcPr>
            <w:tcW w:w="2123" w:type="dxa"/>
            <w:vMerge/>
            <w:vAlign w:val="center"/>
          </w:tcPr>
          <w:p w14:paraId="4E1A43D1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60A88B3B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Historial de incidentes</w:t>
            </w:r>
          </w:p>
        </w:tc>
        <w:tc>
          <w:tcPr>
            <w:tcW w:w="2124" w:type="dxa"/>
            <w:vAlign w:val="center"/>
          </w:tcPr>
          <w:p w14:paraId="3CF23C43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Cierres, bloqueos de cuentas, litigios, etc.</w:t>
            </w:r>
          </w:p>
        </w:tc>
        <w:tc>
          <w:tcPr>
            <w:tcW w:w="2124" w:type="dxa"/>
            <w:vAlign w:val="center"/>
          </w:tcPr>
          <w:p w14:paraId="33FEAA69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597FD0EB" w14:textId="77777777" w:rsidTr="00DC0209">
        <w:tc>
          <w:tcPr>
            <w:tcW w:w="2123" w:type="dxa"/>
            <w:vMerge/>
            <w:vAlign w:val="center"/>
          </w:tcPr>
          <w:p w14:paraId="5E02FD69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33C07CE3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Reputación del equipo fundado</w:t>
            </w:r>
          </w:p>
        </w:tc>
        <w:tc>
          <w:tcPr>
            <w:tcW w:w="2124" w:type="dxa"/>
            <w:vAlign w:val="center"/>
          </w:tcPr>
          <w:p w14:paraId="7A83DED6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Visibilidad y trayectoria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vericable</w:t>
            </w:r>
            <w:proofErr w:type="spellEnd"/>
          </w:p>
        </w:tc>
        <w:tc>
          <w:tcPr>
            <w:tcW w:w="2124" w:type="dxa"/>
            <w:vAlign w:val="center"/>
          </w:tcPr>
          <w:p w14:paraId="3008B7CC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2D18618D" w14:textId="77777777" w:rsidTr="00DC0209">
        <w:tc>
          <w:tcPr>
            <w:tcW w:w="2123" w:type="dxa"/>
            <w:vMerge w:val="restart"/>
            <w:vAlign w:val="center"/>
          </w:tcPr>
          <w:p w14:paraId="177EAFF9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Interfaz y experiencia</w:t>
            </w:r>
          </w:p>
        </w:tc>
        <w:tc>
          <w:tcPr>
            <w:tcW w:w="2123" w:type="dxa"/>
            <w:vAlign w:val="center"/>
          </w:tcPr>
          <w:p w14:paraId="7231ACCF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Facilidad de uso</w:t>
            </w:r>
          </w:p>
        </w:tc>
        <w:tc>
          <w:tcPr>
            <w:tcW w:w="2124" w:type="dxa"/>
            <w:vAlign w:val="center"/>
          </w:tcPr>
          <w:p w14:paraId="76BF7ABB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UI intuitiva, multilenguaje, etc.</w:t>
            </w:r>
          </w:p>
        </w:tc>
        <w:tc>
          <w:tcPr>
            <w:tcW w:w="2124" w:type="dxa"/>
            <w:vAlign w:val="center"/>
          </w:tcPr>
          <w:p w14:paraId="2AD4499A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1307B89C" w14:textId="77777777" w:rsidTr="00DC0209">
        <w:tc>
          <w:tcPr>
            <w:tcW w:w="2123" w:type="dxa"/>
            <w:vMerge/>
            <w:vAlign w:val="center"/>
          </w:tcPr>
          <w:p w14:paraId="1B633870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4878EED6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Velocidad de ejecución</w:t>
            </w:r>
          </w:p>
        </w:tc>
        <w:tc>
          <w:tcPr>
            <w:tcW w:w="2124" w:type="dxa"/>
            <w:vAlign w:val="center"/>
          </w:tcPr>
          <w:p w14:paraId="626F72E3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Órdenes rápidas y sin latencia</w:t>
            </w:r>
          </w:p>
        </w:tc>
        <w:tc>
          <w:tcPr>
            <w:tcW w:w="2124" w:type="dxa"/>
            <w:vAlign w:val="center"/>
          </w:tcPr>
          <w:p w14:paraId="689764ED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2ED532DE" w14:textId="77777777" w:rsidTr="00DC0209">
        <w:tc>
          <w:tcPr>
            <w:tcW w:w="2123" w:type="dxa"/>
            <w:vMerge/>
            <w:vAlign w:val="center"/>
          </w:tcPr>
          <w:p w14:paraId="2A41EA5A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3DC84295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Funcionalidades avanzadas</w:t>
            </w:r>
          </w:p>
        </w:tc>
        <w:tc>
          <w:tcPr>
            <w:tcW w:w="2124" w:type="dxa"/>
            <w:vAlign w:val="center"/>
          </w:tcPr>
          <w:p w14:paraId="46AF1755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Stop-loss, API, staking,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margin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derivados, etc.</w:t>
            </w:r>
          </w:p>
        </w:tc>
        <w:tc>
          <w:tcPr>
            <w:tcW w:w="2124" w:type="dxa"/>
            <w:vAlign w:val="center"/>
          </w:tcPr>
          <w:p w14:paraId="461F037A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</w:tbl>
    <w:p w14:paraId="440D366E" w14:textId="77777777" w:rsidR="001058BD" w:rsidRDefault="001058BD" w:rsidP="001058BD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64: Evaluación de exchanges. </w:t>
      </w:r>
      <w:proofErr w:type="spellStart"/>
      <w:r w:rsidRPr="00665E11">
        <w:rPr>
          <w:rFonts w:eastAsiaTheme="minorEastAsia"/>
          <w:sz w:val="20"/>
          <w:szCs w:val="20"/>
          <w:lang w:eastAsia="es-ES"/>
        </w:rPr>
        <w:t>Chainalysis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49EDF440" w14:textId="77777777" w:rsidR="001058BD" w:rsidRDefault="001058BD" w:rsidP="001058BD">
      <w:pPr>
        <w:jc w:val="both"/>
        <w:rPr>
          <w:rFonts w:eastAsiaTheme="minorEastAsia"/>
          <w:lang w:eastAsia="es-ES"/>
        </w:rPr>
      </w:pPr>
    </w:p>
    <w:p w14:paraId="48C0105E" w14:textId="77777777" w:rsidR="001058BD" w:rsidRPr="005D76CB" w:rsidRDefault="001058BD" w:rsidP="001058BD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5D76CB">
        <w:rPr>
          <w:rFonts w:eastAsiaTheme="minorEastAsia"/>
          <w:lang w:eastAsia="es-ES"/>
        </w:rPr>
        <w:t xml:space="preserve">Exchanges destacados para aplicar a la plantilla: </w:t>
      </w:r>
      <w:proofErr w:type="spellStart"/>
      <w:r w:rsidRPr="005D76CB">
        <w:rPr>
          <w:rFonts w:eastAsiaTheme="minorEastAsia"/>
          <w:lang w:eastAsia="es-ES"/>
        </w:rPr>
        <w:t>Binance</w:t>
      </w:r>
      <w:proofErr w:type="spellEnd"/>
      <w:r w:rsidRPr="005D76CB">
        <w:rPr>
          <w:rFonts w:eastAsiaTheme="minorEastAsia"/>
          <w:lang w:eastAsia="es-ES"/>
        </w:rPr>
        <w:t xml:space="preserve">, Kraken, Coinbase, OKX, </w:t>
      </w:r>
      <w:proofErr w:type="spellStart"/>
      <w:r w:rsidRPr="005D76CB">
        <w:rPr>
          <w:rFonts w:eastAsiaTheme="minorEastAsia"/>
          <w:lang w:eastAsia="es-ES"/>
        </w:rPr>
        <w:t>Bybit</w:t>
      </w:r>
      <w:proofErr w:type="spellEnd"/>
      <w:r w:rsidRPr="005D76CB">
        <w:rPr>
          <w:rFonts w:eastAsiaTheme="minorEastAsia"/>
          <w:lang w:eastAsia="es-ES"/>
        </w:rPr>
        <w:t xml:space="preserve">, </w:t>
      </w:r>
      <w:proofErr w:type="spellStart"/>
      <w:r w:rsidRPr="005D76CB">
        <w:rPr>
          <w:rFonts w:eastAsiaTheme="minorEastAsia"/>
          <w:lang w:eastAsia="es-ES"/>
        </w:rPr>
        <w:t>Bitstamp</w:t>
      </w:r>
      <w:proofErr w:type="spellEnd"/>
      <w:r w:rsidRPr="005D76CB">
        <w:rPr>
          <w:rFonts w:eastAsiaTheme="minorEastAsia"/>
          <w:lang w:eastAsia="es-ES"/>
        </w:rPr>
        <w:t xml:space="preserve">, </w:t>
      </w:r>
      <w:proofErr w:type="spellStart"/>
      <w:r w:rsidRPr="005D76CB">
        <w:rPr>
          <w:rFonts w:eastAsiaTheme="minorEastAsia"/>
          <w:lang w:eastAsia="es-ES"/>
        </w:rPr>
        <w:t>Uniswap</w:t>
      </w:r>
      <w:proofErr w:type="spellEnd"/>
      <w:r w:rsidRPr="005D76CB">
        <w:rPr>
          <w:rFonts w:eastAsiaTheme="minorEastAsia"/>
          <w:lang w:eastAsia="es-ES"/>
        </w:rPr>
        <w:t xml:space="preserve"> (DEX) y </w:t>
      </w:r>
      <w:proofErr w:type="spellStart"/>
      <w:r w:rsidRPr="005D76CB">
        <w:rPr>
          <w:rFonts w:eastAsiaTheme="minorEastAsia"/>
          <w:lang w:eastAsia="es-ES"/>
        </w:rPr>
        <w:t>dYdX</w:t>
      </w:r>
      <w:proofErr w:type="spellEnd"/>
      <w:r w:rsidRPr="005D76CB">
        <w:rPr>
          <w:rFonts w:eastAsiaTheme="minorEastAsia"/>
          <w:lang w:eastAsia="es-ES"/>
        </w:rPr>
        <w:t xml:space="preserve"> (DEX).</w:t>
      </w:r>
    </w:p>
    <w:p w14:paraId="0B40CD2E" w14:textId="77777777" w:rsidR="001058BD" w:rsidRPr="005D76CB" w:rsidRDefault="001058BD" w:rsidP="001058BD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5D76CB">
        <w:rPr>
          <w:rFonts w:eastAsiaTheme="minorEastAsia"/>
          <w:lang w:eastAsia="es-ES"/>
        </w:rPr>
        <w:t xml:space="preserve">Herramientas complementarias: </w:t>
      </w:r>
      <w:proofErr w:type="spellStart"/>
      <w:r w:rsidRPr="005D76CB">
        <w:rPr>
          <w:rFonts w:eastAsiaTheme="minorEastAsia"/>
          <w:lang w:eastAsia="es-ES"/>
        </w:rPr>
        <w:t>CoinGecko</w:t>
      </w:r>
      <w:proofErr w:type="spellEnd"/>
      <w:r w:rsidRPr="005D76CB">
        <w:rPr>
          <w:rFonts w:eastAsiaTheme="minorEastAsia"/>
          <w:lang w:eastAsia="es-ES"/>
        </w:rPr>
        <w:t xml:space="preserve"> Trust Score, </w:t>
      </w:r>
      <w:proofErr w:type="spellStart"/>
      <w:r w:rsidRPr="005D76CB">
        <w:rPr>
          <w:rFonts w:eastAsiaTheme="minorEastAsia"/>
          <w:lang w:eastAsia="es-ES"/>
        </w:rPr>
        <w:t>Certik</w:t>
      </w:r>
      <w:proofErr w:type="spellEnd"/>
      <w:r w:rsidRPr="005D76CB">
        <w:rPr>
          <w:rFonts w:eastAsiaTheme="minorEastAsia"/>
          <w:lang w:eastAsia="es-ES"/>
        </w:rPr>
        <w:t xml:space="preserve"> Audit </w:t>
      </w:r>
      <w:proofErr w:type="spellStart"/>
      <w:r w:rsidRPr="005D76CB">
        <w:rPr>
          <w:rFonts w:eastAsiaTheme="minorEastAsia"/>
          <w:lang w:eastAsia="es-ES"/>
        </w:rPr>
        <w:t>Reports</w:t>
      </w:r>
      <w:proofErr w:type="spellEnd"/>
      <w:r w:rsidRPr="005D76CB">
        <w:rPr>
          <w:rFonts w:eastAsiaTheme="minorEastAsia"/>
          <w:lang w:eastAsia="es-ES"/>
        </w:rPr>
        <w:t xml:space="preserve"> y </w:t>
      </w:r>
      <w:proofErr w:type="spellStart"/>
      <w:r w:rsidRPr="005D76CB">
        <w:rPr>
          <w:rFonts w:eastAsiaTheme="minorEastAsia"/>
          <w:lang w:eastAsia="es-ES"/>
        </w:rPr>
        <w:t>DeFiLlama</w:t>
      </w:r>
      <w:proofErr w:type="spellEnd"/>
      <w:r w:rsidRPr="005D76CB">
        <w:rPr>
          <w:rFonts w:eastAsiaTheme="minorEastAsia"/>
          <w:lang w:eastAsia="es-ES"/>
        </w:rPr>
        <w:t>.</w:t>
      </w:r>
    </w:p>
    <w:p w14:paraId="500C07D2" w14:textId="77777777" w:rsidR="001058BD" w:rsidRDefault="001058BD" w:rsidP="001058BD">
      <w:pPr>
        <w:jc w:val="both"/>
        <w:rPr>
          <w:rFonts w:eastAsiaTheme="minorEastAsia"/>
          <w:lang w:eastAsia="es-ES"/>
        </w:rPr>
      </w:pPr>
    </w:p>
    <w:p w14:paraId="7894E046" w14:textId="77777777" w:rsidR="001058BD" w:rsidRDefault="001058BD" w:rsidP="001058BD">
      <w:pPr>
        <w:jc w:val="both"/>
        <w:rPr>
          <w:rFonts w:eastAsiaTheme="minorEastAsia"/>
          <w:lang w:eastAsia="es-ES"/>
        </w:rPr>
      </w:pPr>
    </w:p>
    <w:p w14:paraId="026CC73C" w14:textId="77777777" w:rsidR="001058BD" w:rsidRPr="00C6489A" w:rsidRDefault="001058BD" w:rsidP="001058BD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 xml:space="preserve">BLOQUE </w:t>
      </w:r>
      <w:r w:rsidRPr="00C6489A">
        <w:rPr>
          <w:rFonts w:eastAsiaTheme="minorEastAsia"/>
          <w:i/>
          <w:iCs/>
          <w:lang w:eastAsia="es-ES"/>
        </w:rPr>
        <w:t>2</w:t>
      </w:r>
      <w:r>
        <w:rPr>
          <w:rFonts w:eastAsiaTheme="minorEastAsia"/>
          <w:i/>
          <w:iCs/>
          <w:lang w:eastAsia="es-ES"/>
        </w:rPr>
        <w:t>:</w:t>
      </w:r>
      <w:r w:rsidRPr="00C6489A">
        <w:rPr>
          <w:rFonts w:eastAsiaTheme="minorEastAsia"/>
          <w:i/>
          <w:iCs/>
          <w:lang w:eastAsia="es-ES"/>
        </w:rPr>
        <w:t xml:space="preserve"> Evaluación de Wallets</w:t>
      </w:r>
    </w:p>
    <w:p w14:paraId="2223E832" w14:textId="77777777" w:rsidR="001058BD" w:rsidRDefault="001058BD" w:rsidP="001058BD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058BD" w:rsidRPr="00F72D2F" w14:paraId="4CFA0D22" w14:textId="77777777" w:rsidTr="00DC0209">
        <w:tc>
          <w:tcPr>
            <w:tcW w:w="2123" w:type="dxa"/>
            <w:vAlign w:val="center"/>
          </w:tcPr>
          <w:p w14:paraId="568F7DC3" w14:textId="77777777" w:rsidR="001058BD" w:rsidRPr="00F72D2F" w:rsidRDefault="001058BD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Categoría</w:t>
            </w:r>
          </w:p>
        </w:tc>
        <w:tc>
          <w:tcPr>
            <w:tcW w:w="2123" w:type="dxa"/>
            <w:vAlign w:val="center"/>
          </w:tcPr>
          <w:p w14:paraId="59D88A24" w14:textId="77777777" w:rsidR="001058BD" w:rsidRPr="00F72D2F" w:rsidRDefault="001058BD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Subcriterio</w:t>
            </w:r>
          </w:p>
        </w:tc>
        <w:tc>
          <w:tcPr>
            <w:tcW w:w="2124" w:type="dxa"/>
            <w:vAlign w:val="center"/>
          </w:tcPr>
          <w:p w14:paraId="63385AEC" w14:textId="77777777" w:rsidR="001058BD" w:rsidRPr="00F72D2F" w:rsidRDefault="001058BD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Descripción</w:t>
            </w:r>
          </w:p>
        </w:tc>
        <w:tc>
          <w:tcPr>
            <w:tcW w:w="2124" w:type="dxa"/>
            <w:vAlign w:val="center"/>
          </w:tcPr>
          <w:p w14:paraId="0404F365" w14:textId="77777777" w:rsidR="001058BD" w:rsidRPr="00F72D2F" w:rsidRDefault="001058BD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Puntuación (1 – 5)</w:t>
            </w:r>
          </w:p>
        </w:tc>
      </w:tr>
      <w:tr w:rsidR="001058BD" w:rsidRPr="00F72D2F" w14:paraId="07129BD7" w14:textId="77777777" w:rsidTr="00DC0209">
        <w:tc>
          <w:tcPr>
            <w:tcW w:w="2123" w:type="dxa"/>
            <w:vMerge w:val="restart"/>
            <w:vAlign w:val="center"/>
          </w:tcPr>
          <w:p w14:paraId="2FD6A7F8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Tipo de custodia</w:t>
            </w:r>
          </w:p>
        </w:tc>
        <w:tc>
          <w:tcPr>
            <w:tcW w:w="2123" w:type="dxa"/>
            <w:vAlign w:val="center"/>
          </w:tcPr>
          <w:p w14:paraId="58F6AE08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Custodia versus No-custodia</w:t>
            </w:r>
          </w:p>
        </w:tc>
        <w:tc>
          <w:tcPr>
            <w:tcW w:w="2124" w:type="dxa"/>
            <w:vAlign w:val="center"/>
          </w:tcPr>
          <w:p w14:paraId="0A7F5A0D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¿Quién tiene el control de las llaves privadas?</w:t>
            </w:r>
          </w:p>
        </w:tc>
        <w:tc>
          <w:tcPr>
            <w:tcW w:w="2124" w:type="dxa"/>
            <w:vAlign w:val="center"/>
          </w:tcPr>
          <w:p w14:paraId="52AE62D6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2284AB29" w14:textId="77777777" w:rsidTr="00DC0209">
        <w:tc>
          <w:tcPr>
            <w:tcW w:w="2123" w:type="dxa"/>
            <w:vMerge/>
            <w:vAlign w:val="center"/>
          </w:tcPr>
          <w:p w14:paraId="6FF13063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12DA4964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Open Source versus código cerrado</w:t>
            </w:r>
          </w:p>
        </w:tc>
        <w:tc>
          <w:tcPr>
            <w:tcW w:w="2124" w:type="dxa"/>
            <w:vAlign w:val="center"/>
          </w:tcPr>
          <w:p w14:paraId="5B3E4BBB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Verficabilidadl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del código</w:t>
            </w:r>
          </w:p>
        </w:tc>
        <w:tc>
          <w:tcPr>
            <w:tcW w:w="2124" w:type="dxa"/>
            <w:vAlign w:val="center"/>
          </w:tcPr>
          <w:p w14:paraId="7FEC2CEE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2CB39E25" w14:textId="77777777" w:rsidTr="00DC0209">
        <w:tc>
          <w:tcPr>
            <w:tcW w:w="2123" w:type="dxa"/>
            <w:vMerge/>
            <w:vAlign w:val="center"/>
          </w:tcPr>
          <w:p w14:paraId="56A711BE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62609BA9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Integración con hardware wallet</w:t>
            </w:r>
          </w:p>
        </w:tc>
        <w:tc>
          <w:tcPr>
            <w:tcW w:w="2124" w:type="dxa"/>
            <w:vAlign w:val="center"/>
          </w:tcPr>
          <w:p w14:paraId="2F4082FA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Trezor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Ledger, etc.</w:t>
            </w:r>
          </w:p>
        </w:tc>
        <w:tc>
          <w:tcPr>
            <w:tcW w:w="2124" w:type="dxa"/>
            <w:vAlign w:val="center"/>
          </w:tcPr>
          <w:p w14:paraId="58ED8FD4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418625B4" w14:textId="77777777" w:rsidTr="00DC0209">
        <w:tc>
          <w:tcPr>
            <w:tcW w:w="2123" w:type="dxa"/>
            <w:vMerge w:val="restart"/>
            <w:vAlign w:val="center"/>
          </w:tcPr>
          <w:p w14:paraId="01C6BB06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Seguridad funcional</w:t>
            </w:r>
          </w:p>
        </w:tc>
        <w:tc>
          <w:tcPr>
            <w:tcW w:w="2123" w:type="dxa"/>
            <w:vAlign w:val="center"/>
          </w:tcPr>
          <w:p w14:paraId="400196E4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Backup y recuperación</w:t>
            </w:r>
          </w:p>
        </w:tc>
        <w:tc>
          <w:tcPr>
            <w:tcW w:w="2124" w:type="dxa"/>
            <w:vAlign w:val="center"/>
          </w:tcPr>
          <w:p w14:paraId="18068E23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Palabras semilla, mecanismos de recuperación, etc.</w:t>
            </w:r>
          </w:p>
        </w:tc>
        <w:tc>
          <w:tcPr>
            <w:tcW w:w="2124" w:type="dxa"/>
            <w:vAlign w:val="center"/>
          </w:tcPr>
          <w:p w14:paraId="4E878F02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038C7317" w14:textId="77777777" w:rsidTr="00DC0209">
        <w:tc>
          <w:tcPr>
            <w:tcW w:w="2123" w:type="dxa"/>
            <w:vMerge/>
            <w:vAlign w:val="center"/>
          </w:tcPr>
          <w:p w14:paraId="52614C65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79BCAF01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Protección anti-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phising</w:t>
            </w:r>
            <w:proofErr w:type="spellEnd"/>
          </w:p>
        </w:tc>
        <w:tc>
          <w:tcPr>
            <w:tcW w:w="2124" w:type="dxa"/>
            <w:vAlign w:val="center"/>
          </w:tcPr>
          <w:p w14:paraId="5692C447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Marcas visuales, verificación de dominio, etc.</w:t>
            </w:r>
          </w:p>
        </w:tc>
        <w:tc>
          <w:tcPr>
            <w:tcW w:w="2124" w:type="dxa"/>
            <w:vAlign w:val="center"/>
          </w:tcPr>
          <w:p w14:paraId="5780CEDA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2A7EBD4E" w14:textId="77777777" w:rsidTr="00DC0209">
        <w:tc>
          <w:tcPr>
            <w:tcW w:w="2123" w:type="dxa"/>
            <w:vMerge/>
            <w:vAlign w:val="center"/>
          </w:tcPr>
          <w:p w14:paraId="3E27F06E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1D3F72D8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Soporte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multicadena</w:t>
            </w:r>
            <w:proofErr w:type="spellEnd"/>
          </w:p>
        </w:tc>
        <w:tc>
          <w:tcPr>
            <w:tcW w:w="2124" w:type="dxa"/>
            <w:vAlign w:val="center"/>
          </w:tcPr>
          <w:p w14:paraId="26259BDE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Ethereum, Bitcoin, Polygon, Solana, etc.</w:t>
            </w:r>
          </w:p>
        </w:tc>
        <w:tc>
          <w:tcPr>
            <w:tcW w:w="2124" w:type="dxa"/>
            <w:vAlign w:val="center"/>
          </w:tcPr>
          <w:p w14:paraId="0BD94D7F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2F58C780" w14:textId="77777777" w:rsidTr="00DC0209">
        <w:tc>
          <w:tcPr>
            <w:tcW w:w="2123" w:type="dxa"/>
            <w:vMerge w:val="restart"/>
            <w:vAlign w:val="center"/>
          </w:tcPr>
          <w:p w14:paraId="5B312DB4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Experiencia de usuario</w:t>
            </w:r>
          </w:p>
        </w:tc>
        <w:tc>
          <w:tcPr>
            <w:tcW w:w="2123" w:type="dxa"/>
            <w:vAlign w:val="center"/>
          </w:tcPr>
          <w:p w14:paraId="08B34077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Interfaz de usuario</w:t>
            </w:r>
          </w:p>
        </w:tc>
        <w:tc>
          <w:tcPr>
            <w:tcW w:w="2124" w:type="dxa"/>
            <w:vAlign w:val="center"/>
          </w:tcPr>
          <w:p w14:paraId="5FBCC230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Diseño, navegación, multilenguaje, etc.</w:t>
            </w:r>
          </w:p>
        </w:tc>
        <w:tc>
          <w:tcPr>
            <w:tcW w:w="2124" w:type="dxa"/>
            <w:vAlign w:val="center"/>
          </w:tcPr>
          <w:p w14:paraId="677284AD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4B88BAF1" w14:textId="77777777" w:rsidTr="00DC0209">
        <w:tc>
          <w:tcPr>
            <w:tcW w:w="2123" w:type="dxa"/>
            <w:vMerge/>
            <w:vAlign w:val="center"/>
          </w:tcPr>
          <w:p w14:paraId="7BEA4D7E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66ABCC5D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Compatibilidad móvil / ordenador</w:t>
            </w:r>
          </w:p>
        </w:tc>
        <w:tc>
          <w:tcPr>
            <w:tcW w:w="2124" w:type="dxa"/>
            <w:vAlign w:val="center"/>
          </w:tcPr>
          <w:p w14:paraId="67CBF3B5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App Android / iOS, extensión, web, etc.</w:t>
            </w:r>
          </w:p>
        </w:tc>
        <w:tc>
          <w:tcPr>
            <w:tcW w:w="2124" w:type="dxa"/>
            <w:vAlign w:val="center"/>
          </w:tcPr>
          <w:p w14:paraId="1651647D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59096113" w14:textId="77777777" w:rsidTr="00DC0209">
        <w:tc>
          <w:tcPr>
            <w:tcW w:w="2123" w:type="dxa"/>
            <w:vMerge/>
            <w:vAlign w:val="center"/>
          </w:tcPr>
          <w:p w14:paraId="57789DD8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494C4FB2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Integración con DeFi y NFTs</w:t>
            </w:r>
          </w:p>
        </w:tc>
        <w:tc>
          <w:tcPr>
            <w:tcW w:w="2124" w:type="dxa"/>
            <w:vAlign w:val="center"/>
          </w:tcPr>
          <w:p w14:paraId="0F9A2C8B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Swaps, staking, visualización de NFTs, etc.</w:t>
            </w:r>
          </w:p>
        </w:tc>
        <w:tc>
          <w:tcPr>
            <w:tcW w:w="2124" w:type="dxa"/>
            <w:vAlign w:val="center"/>
          </w:tcPr>
          <w:p w14:paraId="28AB91E9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6940B83C" w14:textId="77777777" w:rsidTr="00DC0209">
        <w:tc>
          <w:tcPr>
            <w:tcW w:w="2123" w:type="dxa"/>
            <w:vMerge w:val="restart"/>
            <w:vAlign w:val="center"/>
          </w:tcPr>
          <w:p w14:paraId="57DDF00A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Actualizaciones y soporte</w:t>
            </w:r>
          </w:p>
        </w:tc>
        <w:tc>
          <w:tcPr>
            <w:tcW w:w="2123" w:type="dxa"/>
            <w:vAlign w:val="center"/>
          </w:tcPr>
          <w:p w14:paraId="784E9D2D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Frecuencia de actualizaciones</w:t>
            </w:r>
          </w:p>
        </w:tc>
        <w:tc>
          <w:tcPr>
            <w:tcW w:w="2124" w:type="dxa"/>
            <w:vAlign w:val="center"/>
          </w:tcPr>
          <w:p w14:paraId="7AF0B69D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Cambios en seguridad o nuevas funciones</w:t>
            </w:r>
          </w:p>
        </w:tc>
        <w:tc>
          <w:tcPr>
            <w:tcW w:w="2124" w:type="dxa"/>
            <w:vAlign w:val="center"/>
          </w:tcPr>
          <w:p w14:paraId="7F9A9B32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  <w:tr w:rsidR="001058BD" w:rsidRPr="00F72D2F" w14:paraId="1F0A40C8" w14:textId="77777777" w:rsidTr="00DC0209">
        <w:tc>
          <w:tcPr>
            <w:tcW w:w="2123" w:type="dxa"/>
            <w:vMerge/>
            <w:vAlign w:val="center"/>
          </w:tcPr>
          <w:p w14:paraId="72E8C55D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  <w:tc>
          <w:tcPr>
            <w:tcW w:w="2123" w:type="dxa"/>
            <w:vAlign w:val="center"/>
          </w:tcPr>
          <w:p w14:paraId="66E86C61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Soporte técnico</w:t>
            </w:r>
          </w:p>
        </w:tc>
        <w:tc>
          <w:tcPr>
            <w:tcW w:w="2124" w:type="dxa"/>
            <w:vAlign w:val="center"/>
          </w:tcPr>
          <w:p w14:paraId="7D92BF25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Respuesta rápida, foros, documentación, etc.</w:t>
            </w:r>
          </w:p>
        </w:tc>
        <w:tc>
          <w:tcPr>
            <w:tcW w:w="2124" w:type="dxa"/>
            <w:vAlign w:val="center"/>
          </w:tcPr>
          <w:p w14:paraId="01BBDC97" w14:textId="77777777" w:rsidR="001058BD" w:rsidRPr="00F72D2F" w:rsidRDefault="001058BD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</w:p>
        </w:tc>
      </w:tr>
    </w:tbl>
    <w:p w14:paraId="67640DC6" w14:textId="77777777" w:rsidR="001058BD" w:rsidRDefault="001058BD" w:rsidP="001058BD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65: Evaluación de wallets. </w:t>
      </w:r>
      <w:proofErr w:type="spellStart"/>
      <w:r w:rsidRPr="00665E11">
        <w:rPr>
          <w:rFonts w:eastAsiaTheme="minorEastAsia"/>
          <w:sz w:val="20"/>
          <w:szCs w:val="20"/>
          <w:lang w:eastAsia="es-ES"/>
        </w:rPr>
        <w:t>Chainalysis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047162F7" w14:textId="77777777" w:rsidR="001058BD" w:rsidRPr="00902C09" w:rsidRDefault="001058BD" w:rsidP="001058BD">
      <w:pPr>
        <w:jc w:val="both"/>
        <w:rPr>
          <w:rFonts w:eastAsiaTheme="minorEastAsia"/>
          <w:lang w:eastAsia="es-ES"/>
        </w:rPr>
      </w:pPr>
    </w:p>
    <w:p w14:paraId="0CEE3EC7" w14:textId="77777777" w:rsidR="001058BD" w:rsidRPr="002F1D47" w:rsidRDefault="001058BD" w:rsidP="001058BD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2F1D47">
        <w:rPr>
          <w:rFonts w:eastAsiaTheme="minorEastAsia"/>
          <w:lang w:eastAsia="es-ES"/>
        </w:rPr>
        <w:t xml:space="preserve">Wallets para aplicar la plantilla: </w:t>
      </w:r>
      <w:proofErr w:type="spellStart"/>
      <w:r w:rsidRPr="002F1D47">
        <w:rPr>
          <w:rFonts w:eastAsiaTheme="minorEastAsia"/>
          <w:lang w:eastAsia="es-ES"/>
        </w:rPr>
        <w:t>Metamask</w:t>
      </w:r>
      <w:proofErr w:type="spellEnd"/>
      <w:r w:rsidRPr="002F1D47">
        <w:rPr>
          <w:rFonts w:eastAsiaTheme="minorEastAsia"/>
          <w:lang w:eastAsia="es-ES"/>
        </w:rPr>
        <w:t xml:space="preserve"> (Ethereum y EVM), Trust Wallet (multi-</w:t>
      </w:r>
      <w:proofErr w:type="spellStart"/>
      <w:r w:rsidRPr="002F1D47">
        <w:rPr>
          <w:rFonts w:eastAsiaTheme="minorEastAsia"/>
          <w:lang w:eastAsia="es-ES"/>
        </w:rPr>
        <w:t>chain</w:t>
      </w:r>
      <w:proofErr w:type="spellEnd"/>
      <w:r w:rsidRPr="002F1D47">
        <w:rPr>
          <w:rFonts w:eastAsiaTheme="minorEastAsia"/>
          <w:lang w:eastAsia="es-ES"/>
        </w:rPr>
        <w:t xml:space="preserve">), Ledger Live (hardware), </w:t>
      </w:r>
      <w:proofErr w:type="spellStart"/>
      <w:r w:rsidRPr="002F1D47">
        <w:rPr>
          <w:rFonts w:eastAsiaTheme="minorEastAsia"/>
          <w:lang w:eastAsia="es-ES"/>
        </w:rPr>
        <w:t>Trezor</w:t>
      </w:r>
      <w:proofErr w:type="spellEnd"/>
      <w:r w:rsidRPr="002F1D47">
        <w:rPr>
          <w:rFonts w:eastAsiaTheme="minorEastAsia"/>
          <w:lang w:eastAsia="es-ES"/>
        </w:rPr>
        <w:t xml:space="preserve"> Suite (hardware), Phantom (Solana), </w:t>
      </w:r>
      <w:proofErr w:type="spellStart"/>
      <w:r w:rsidRPr="002F1D47">
        <w:rPr>
          <w:rFonts w:eastAsiaTheme="minorEastAsia"/>
          <w:lang w:eastAsia="es-ES"/>
        </w:rPr>
        <w:t>Keplr</w:t>
      </w:r>
      <w:proofErr w:type="spellEnd"/>
      <w:r w:rsidRPr="002F1D47">
        <w:rPr>
          <w:rFonts w:eastAsiaTheme="minorEastAsia"/>
          <w:lang w:eastAsia="es-ES"/>
        </w:rPr>
        <w:t xml:space="preserve"> (Cosmos) y Argent (Ethereum L2).</w:t>
      </w:r>
    </w:p>
    <w:p w14:paraId="2AEB0FBE" w14:textId="77777777" w:rsidR="001058BD" w:rsidRDefault="001058BD" w:rsidP="001058BD">
      <w:pPr>
        <w:jc w:val="both"/>
        <w:rPr>
          <w:rFonts w:eastAsiaTheme="minorEastAsia"/>
          <w:lang w:eastAsia="es-ES"/>
        </w:rPr>
      </w:pPr>
    </w:p>
    <w:p w14:paraId="16C7AF63" w14:textId="77777777" w:rsidR="001058BD" w:rsidRPr="00902C09" w:rsidRDefault="001058BD" w:rsidP="001058BD">
      <w:pPr>
        <w:jc w:val="both"/>
        <w:rPr>
          <w:rFonts w:eastAsiaTheme="minorEastAsia"/>
          <w:lang w:eastAsia="es-ES"/>
        </w:rPr>
      </w:pPr>
    </w:p>
    <w:p w14:paraId="05A027C2" w14:textId="77777777" w:rsidR="001058BD" w:rsidRPr="002F1D47" w:rsidRDefault="001058BD" w:rsidP="001058BD">
      <w:pPr>
        <w:jc w:val="both"/>
        <w:rPr>
          <w:rFonts w:eastAsiaTheme="minorEastAsia"/>
          <w:b/>
          <w:bCs/>
          <w:lang w:eastAsia="es-ES"/>
        </w:rPr>
      </w:pPr>
      <w:r w:rsidRPr="002F1D47">
        <w:rPr>
          <w:rFonts w:eastAsiaTheme="minorEastAsia"/>
          <w:b/>
          <w:bCs/>
          <w:lang w:eastAsia="es-ES"/>
        </w:rPr>
        <w:t>Resultado final</w:t>
      </w:r>
    </w:p>
    <w:p w14:paraId="6C21F931" w14:textId="77777777" w:rsidR="001058BD" w:rsidRPr="002F1D47" w:rsidRDefault="001058BD" w:rsidP="001058BD">
      <w:pPr>
        <w:jc w:val="both"/>
        <w:rPr>
          <w:rFonts w:eastAsiaTheme="minorEastAsia"/>
          <w:lang w:eastAsia="es-ES"/>
        </w:rPr>
      </w:pPr>
      <w:r w:rsidRPr="002F1D47">
        <w:rPr>
          <w:rFonts w:eastAsiaTheme="minorEastAsia"/>
          <w:lang w:eastAsia="es-ES"/>
        </w:rPr>
        <w:t>Una vez completadas las puntuaciones por subcriterio, se suman las columnas y se obtiene:</w:t>
      </w:r>
    </w:p>
    <w:p w14:paraId="6E61C416" w14:textId="77777777" w:rsidR="001058BD" w:rsidRPr="002F1D47" w:rsidRDefault="001058BD" w:rsidP="001058BD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2F1D47">
        <w:rPr>
          <w:rFonts w:eastAsiaTheme="minorEastAsia"/>
          <w:lang w:eastAsia="es-ES"/>
        </w:rPr>
        <w:t>Puntuación total (máximo: 100)</w:t>
      </w:r>
    </w:p>
    <w:p w14:paraId="37AC606D" w14:textId="77777777" w:rsidR="001058BD" w:rsidRPr="002F1D47" w:rsidRDefault="001058BD" w:rsidP="001058BD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2F1D47">
        <w:rPr>
          <w:rFonts w:eastAsiaTheme="minorEastAsia"/>
          <w:lang w:eastAsia="es-ES"/>
        </w:rPr>
        <w:t>Nivel de confiabilidad:</w:t>
      </w:r>
    </w:p>
    <w:p w14:paraId="6AFC06BE" w14:textId="77777777" w:rsidR="001058BD" w:rsidRPr="002F1D47" w:rsidRDefault="001058BD" w:rsidP="001058BD">
      <w:pPr>
        <w:pStyle w:val="Prrafodelista"/>
        <w:numPr>
          <w:ilvl w:val="1"/>
          <w:numId w:val="4"/>
        </w:numPr>
        <w:jc w:val="both"/>
        <w:rPr>
          <w:rFonts w:eastAsiaTheme="minorEastAsia"/>
          <w:lang w:eastAsia="es-ES"/>
        </w:rPr>
      </w:pPr>
      <w:r w:rsidRPr="002F1D47">
        <w:rPr>
          <w:rFonts w:eastAsiaTheme="minorEastAsia"/>
          <w:lang w:eastAsia="es-ES"/>
        </w:rPr>
        <w:t>90–100: Excelente</w:t>
      </w:r>
    </w:p>
    <w:p w14:paraId="619B9C5C" w14:textId="77777777" w:rsidR="001058BD" w:rsidRPr="002F1D47" w:rsidRDefault="001058BD" w:rsidP="001058BD">
      <w:pPr>
        <w:pStyle w:val="Prrafodelista"/>
        <w:numPr>
          <w:ilvl w:val="1"/>
          <w:numId w:val="4"/>
        </w:numPr>
        <w:jc w:val="both"/>
        <w:rPr>
          <w:rFonts w:eastAsiaTheme="minorEastAsia"/>
          <w:lang w:eastAsia="es-ES"/>
        </w:rPr>
      </w:pPr>
      <w:r w:rsidRPr="002F1D47">
        <w:rPr>
          <w:rFonts w:eastAsiaTheme="minorEastAsia"/>
          <w:lang w:eastAsia="es-ES"/>
        </w:rPr>
        <w:t>75–89: Muy buena</w:t>
      </w:r>
    </w:p>
    <w:p w14:paraId="29CA607F" w14:textId="77777777" w:rsidR="001058BD" w:rsidRPr="002F1D47" w:rsidRDefault="001058BD" w:rsidP="001058BD">
      <w:pPr>
        <w:pStyle w:val="Prrafodelista"/>
        <w:numPr>
          <w:ilvl w:val="1"/>
          <w:numId w:val="4"/>
        </w:numPr>
        <w:jc w:val="both"/>
        <w:rPr>
          <w:rFonts w:eastAsiaTheme="minorEastAsia"/>
          <w:lang w:eastAsia="es-ES"/>
        </w:rPr>
      </w:pPr>
      <w:r w:rsidRPr="002F1D47">
        <w:rPr>
          <w:rFonts w:eastAsiaTheme="minorEastAsia"/>
          <w:lang w:eastAsia="es-ES"/>
        </w:rPr>
        <w:t>60–74: Aceptable con precauciones</w:t>
      </w:r>
    </w:p>
    <w:p w14:paraId="53E4B144" w14:textId="77777777" w:rsidR="001058BD" w:rsidRPr="002F1D47" w:rsidRDefault="001058BD" w:rsidP="001058BD">
      <w:pPr>
        <w:pStyle w:val="Prrafodelista"/>
        <w:numPr>
          <w:ilvl w:val="1"/>
          <w:numId w:val="4"/>
        </w:numPr>
        <w:jc w:val="both"/>
        <w:rPr>
          <w:rFonts w:eastAsiaTheme="minorEastAsia"/>
          <w:lang w:eastAsia="es-ES"/>
        </w:rPr>
      </w:pPr>
      <w:r w:rsidRPr="002F1D47">
        <w:rPr>
          <w:rFonts w:eastAsiaTheme="minorEastAsia"/>
          <w:lang w:eastAsia="es-ES"/>
        </w:rPr>
        <w:t>&lt;60: Riesgo elevado</w:t>
      </w:r>
    </w:p>
    <w:p w14:paraId="07716256" w14:textId="77777777" w:rsidR="001058BD" w:rsidRDefault="001058BD" w:rsidP="001058BD">
      <w:pPr>
        <w:jc w:val="both"/>
        <w:rPr>
          <w:rFonts w:eastAsiaTheme="minorEastAsia"/>
          <w:lang w:eastAsia="es-ES"/>
        </w:rPr>
      </w:pPr>
    </w:p>
    <w:p w14:paraId="23D62E8C" w14:textId="77777777" w:rsidR="001058BD" w:rsidRPr="00902C09" w:rsidRDefault="001058BD" w:rsidP="001058BD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Se recomiendan algunas prácticas a realizar con las wallets:</w:t>
      </w:r>
    </w:p>
    <w:p w14:paraId="6AC47844" w14:textId="77777777" w:rsidR="001058BD" w:rsidRPr="00577D80" w:rsidRDefault="001058BD" w:rsidP="001058BD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577D80">
        <w:rPr>
          <w:rFonts w:eastAsiaTheme="minorEastAsia"/>
          <w:lang w:eastAsia="es-ES"/>
        </w:rPr>
        <w:t>No concentrar todos los fondos en un solo exchange o wallet.</w:t>
      </w:r>
    </w:p>
    <w:p w14:paraId="0E46A684" w14:textId="77777777" w:rsidR="001058BD" w:rsidRPr="00577D80" w:rsidRDefault="001058BD" w:rsidP="001058BD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577D80">
        <w:rPr>
          <w:rFonts w:eastAsiaTheme="minorEastAsia"/>
          <w:lang w:eastAsia="es-ES"/>
        </w:rPr>
        <w:t xml:space="preserve">Usar </w:t>
      </w:r>
      <w:r>
        <w:rPr>
          <w:rFonts w:eastAsiaTheme="minorEastAsia"/>
          <w:lang w:eastAsia="es-ES"/>
        </w:rPr>
        <w:t>cold wallets</w:t>
      </w:r>
      <w:r w:rsidRPr="00577D80">
        <w:rPr>
          <w:rFonts w:eastAsiaTheme="minorEastAsia"/>
          <w:lang w:eastAsia="es-ES"/>
        </w:rPr>
        <w:t xml:space="preserve"> para almacenamiento a largo plazo y </w:t>
      </w:r>
      <w:proofErr w:type="spellStart"/>
      <w:r w:rsidRPr="00577D80">
        <w:rPr>
          <w:rFonts w:eastAsiaTheme="minorEastAsia"/>
          <w:lang w:eastAsia="es-ES"/>
        </w:rPr>
        <w:t>hot</w:t>
      </w:r>
      <w:proofErr w:type="spellEnd"/>
      <w:r w:rsidRPr="00577D80">
        <w:rPr>
          <w:rFonts w:eastAsiaTheme="minorEastAsia"/>
          <w:lang w:eastAsia="es-ES"/>
        </w:rPr>
        <w:t xml:space="preserve"> wallets para operaciones.</w:t>
      </w:r>
    </w:p>
    <w:p w14:paraId="476ED950" w14:textId="77777777" w:rsidR="001058BD" w:rsidRPr="00577D80" w:rsidRDefault="001058BD" w:rsidP="001058BD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577D80">
        <w:rPr>
          <w:rFonts w:eastAsiaTheme="minorEastAsia"/>
          <w:lang w:eastAsia="es-ES"/>
        </w:rPr>
        <w:t>Verificar siempre el origen y autenticidad del software o sitio web.</w:t>
      </w:r>
    </w:p>
    <w:p w14:paraId="0293B738" w14:textId="77777777" w:rsidR="001058BD" w:rsidRPr="00577D80" w:rsidRDefault="001058BD" w:rsidP="001058BD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577D80">
        <w:rPr>
          <w:rFonts w:eastAsiaTheme="minorEastAsia"/>
          <w:lang w:eastAsia="es-ES"/>
        </w:rPr>
        <w:t>Revisar periódicamente los términos y condiciones de uso.</w:t>
      </w:r>
    </w:p>
    <w:p w14:paraId="77E89B0F" w14:textId="77777777" w:rsidR="001058BD" w:rsidRPr="00577D80" w:rsidRDefault="001058BD" w:rsidP="001058BD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577D80">
        <w:rPr>
          <w:rFonts w:eastAsiaTheme="minorEastAsia"/>
          <w:lang w:eastAsia="es-ES"/>
        </w:rPr>
        <w:t>Seguir fuentes confiables de actualización regulatoria.</w:t>
      </w:r>
    </w:p>
    <w:p w14:paraId="319185BD" w14:textId="77777777" w:rsidR="001058BD" w:rsidRDefault="001058BD" w:rsidP="001058BD">
      <w:pPr>
        <w:jc w:val="both"/>
        <w:rPr>
          <w:rFonts w:eastAsiaTheme="minorEastAsia"/>
          <w:lang w:eastAsia="es-ES"/>
        </w:rPr>
      </w:pPr>
    </w:p>
    <w:p w14:paraId="2BDBD917" w14:textId="0C76A7A4" w:rsidR="00455277" w:rsidRPr="001058BD" w:rsidRDefault="001058BD" w:rsidP="001058BD">
      <w:pPr>
        <w:jc w:val="both"/>
        <w:rPr>
          <w:rFonts w:eastAsiaTheme="minorEastAsia"/>
          <w:lang w:eastAsia="es-ES"/>
        </w:rPr>
      </w:pPr>
      <w:r w:rsidRPr="0087200D">
        <w:rPr>
          <w:rFonts w:eastAsiaTheme="minorEastAsia"/>
          <w:lang w:eastAsia="es-ES"/>
        </w:rPr>
        <w:t xml:space="preserve">La evaluación rigurosa de exchanges y wallets no solo reduce el riesgo operativo y financiero, sino que fortalece una cultura de inversión informada y estratégica en el ecosistema Web3. Esta </w:t>
      </w:r>
      <w:r>
        <w:rPr>
          <w:rFonts w:eastAsiaTheme="minorEastAsia"/>
          <w:lang w:eastAsia="es-ES"/>
        </w:rPr>
        <w:t>plantilla</w:t>
      </w:r>
      <w:r w:rsidRPr="0087200D">
        <w:rPr>
          <w:rFonts w:eastAsiaTheme="minorEastAsia"/>
          <w:lang w:eastAsia="es-ES"/>
        </w:rPr>
        <w:t>, aplicada de forma regular, representa una barrera efectiva contra fraudes, hackeos, insolvencias y malas decisiones de custodia, fortaleciendo la infraestructura personal o institucional de activos digitales.</w:t>
      </w:r>
    </w:p>
    <w:sectPr w:rsidR="00455277" w:rsidRPr="001058BD">
      <w:headerReference w:type="even" r:id="rId7"/>
      <w:head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2D0D7" w14:textId="77777777" w:rsidR="00CE2BF9" w:rsidRDefault="00CE2BF9" w:rsidP="001058BD">
      <w:r>
        <w:separator/>
      </w:r>
    </w:p>
  </w:endnote>
  <w:endnote w:type="continuationSeparator" w:id="0">
    <w:p w14:paraId="2D227699" w14:textId="77777777" w:rsidR="00CE2BF9" w:rsidRDefault="00CE2BF9" w:rsidP="00105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E4C50" w14:textId="77777777" w:rsidR="00CE2BF9" w:rsidRDefault="00CE2BF9" w:rsidP="001058BD">
      <w:r>
        <w:separator/>
      </w:r>
    </w:p>
  </w:footnote>
  <w:footnote w:type="continuationSeparator" w:id="0">
    <w:p w14:paraId="09745905" w14:textId="77777777" w:rsidR="00CE2BF9" w:rsidRDefault="00CE2BF9" w:rsidP="00105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BE1F2" w14:textId="06E40F97" w:rsidR="001058BD" w:rsidRDefault="001058BD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636BEB6" wp14:editId="7214A5C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355370950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C360D0" w14:textId="2E65E88D" w:rsidR="001058BD" w:rsidRPr="001058BD" w:rsidRDefault="001058BD" w:rsidP="001058B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1058BD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36BEB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3CC360D0" w14:textId="2E65E88D" w:rsidR="001058BD" w:rsidRPr="001058BD" w:rsidRDefault="001058BD" w:rsidP="001058BD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1058BD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736F4" w14:textId="6795BA21" w:rsidR="001058BD" w:rsidRDefault="001058BD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61272A8" wp14:editId="0CDEAA8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313793093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71C91C" w14:textId="203D155C" w:rsidR="001058BD" w:rsidRPr="001058BD" w:rsidRDefault="001058BD" w:rsidP="001058B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1058BD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1272A8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5871C91C" w14:textId="203D155C" w:rsidR="001058BD" w:rsidRPr="001058BD" w:rsidRDefault="001058BD" w:rsidP="001058BD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1058BD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5322E"/>
    <w:multiLevelType w:val="hybridMultilevel"/>
    <w:tmpl w:val="C50E5BE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60649A">
      <w:start w:val="2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3" w:tplc="034E2E5C">
      <w:start w:val="3"/>
      <w:numFmt w:val="bullet"/>
      <w:lvlText w:val=""/>
      <w:lvlJc w:val="left"/>
      <w:pPr>
        <w:ind w:left="2880" w:hanging="360"/>
      </w:pPr>
      <w:rPr>
        <w:rFonts w:ascii="Wingdings" w:eastAsiaTheme="minorEastAsia" w:hAnsi="Wingdings" w:cs="Times New Roman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26E39"/>
    <w:multiLevelType w:val="hybridMultilevel"/>
    <w:tmpl w:val="90800AE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473F5"/>
    <w:multiLevelType w:val="hybridMultilevel"/>
    <w:tmpl w:val="9D068E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94E4C"/>
    <w:multiLevelType w:val="hybridMultilevel"/>
    <w:tmpl w:val="08DA0F4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A2061"/>
    <w:multiLevelType w:val="hybridMultilevel"/>
    <w:tmpl w:val="9D44BF5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538321">
    <w:abstractNumId w:val="2"/>
  </w:num>
  <w:num w:numId="2" w16cid:durableId="754253901">
    <w:abstractNumId w:val="3"/>
  </w:num>
  <w:num w:numId="3" w16cid:durableId="990985734">
    <w:abstractNumId w:val="4"/>
  </w:num>
  <w:num w:numId="4" w16cid:durableId="902369611">
    <w:abstractNumId w:val="0"/>
  </w:num>
  <w:num w:numId="5" w16cid:durableId="1995909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8BD"/>
    <w:rsid w:val="00022556"/>
    <w:rsid w:val="001058BD"/>
    <w:rsid w:val="00407413"/>
    <w:rsid w:val="00455277"/>
    <w:rsid w:val="008B0571"/>
    <w:rsid w:val="00C246FB"/>
    <w:rsid w:val="00CE2BF9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3BE642"/>
  <w15:chartTrackingRefBased/>
  <w15:docId w15:val="{8174E65E-8DC1-234A-B5B0-C09003BE0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8BD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058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058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058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058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058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058B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058B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058B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058B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058BD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058BD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058BD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058BD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058BD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058BD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058BD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058BD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058BD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1058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058BD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1058B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058BD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1058B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058BD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1058B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058B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058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058BD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1058BD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105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058B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058BD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225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556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830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2025-08-28T11:44:00Z</dcterms:created>
  <dcterms:modified xsi:type="dcterms:W3CDTF">2025-08-28T11:44:00Z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4e4ee445,152e87c6,5480957f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2025-08-28T11:44:30Z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a4055189-a0e2-42c3-a0b8-89e9935d3d40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